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20" w:lineRule="exact"/>
        <w:ind w:right="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color="auto" w:fill="FFFFFF"/>
          <w:lang w:val="en-US" w:eastAsia="zh-CN" w:bidi="ar"/>
        </w:rPr>
        <w:t>鲁山县行政审批和政务信息管理局关于2025年法治政府建设情况的报告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left"/>
        <w:textAlignment w:val="auto"/>
        <w:rPr>
          <w:rFonts w:hint="eastAsia"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2025年以来，鲁山县行政审批和政务信息管理局</w:t>
      </w:r>
      <w:r>
        <w:rPr>
          <w:rFonts w:hint="eastAsia" w:ascii="仿宋_GB2312" w:hAnsi="仿宋_GB2312" w:eastAsia="仿宋_GB2312" w:cs="仿宋_GB2312"/>
          <w:sz w:val="32"/>
          <w:szCs w:val="32"/>
        </w:rPr>
        <w:t>坚持以习近平新时代中国特色社会主义思想为指导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紧紧围绕县委、县政府中心工作，坚持将法治思维、法治方式贯穿行政审批、政务信息管理、政务服务全</w:t>
      </w:r>
      <w:bookmarkStart w:id="0" w:name="_GoBack"/>
      <w:bookmarkEnd w:id="0"/>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过程，为我县高质量发展提供坚实法治保障。现将2025年法治政府建设情况报告如下：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黑体" w:hAnsi="黑体" w:eastAsia="黑体" w:cs="黑体"/>
          <w:sz w:val="32"/>
          <w:szCs w:val="32"/>
          <w:lang w:val="en-US"/>
        </w:rPr>
      </w:pPr>
      <w:r>
        <w:rPr>
          <w:rFonts w:hint="eastAsia" w:ascii="黑体" w:hAnsi="黑体" w:eastAsia="黑体" w:cs="黑体"/>
          <w:sz w:val="32"/>
          <w:szCs w:val="32"/>
        </w:rPr>
        <w:t>一、</w:t>
      </w:r>
      <w:r>
        <w:rPr>
          <w:rFonts w:hint="eastAsia" w:ascii="黑体" w:hAnsi="黑体" w:eastAsia="黑体" w:cs="黑体"/>
          <w:sz w:val="32"/>
          <w:szCs w:val="32"/>
          <w:lang w:val="en-US" w:eastAsia="zh-CN"/>
        </w:rPr>
        <w:t>2025年度</w:t>
      </w:r>
      <w:r>
        <w:rPr>
          <w:rFonts w:hint="eastAsia" w:ascii="黑体" w:hAnsi="黑体" w:eastAsia="黑体" w:cs="黑体"/>
          <w:sz w:val="32"/>
          <w:szCs w:val="32"/>
        </w:rPr>
        <w:t>党政</w:t>
      </w:r>
      <w:r>
        <w:rPr>
          <w:rFonts w:hint="eastAsia" w:ascii="黑体" w:hAnsi="黑体" w:eastAsia="黑体" w:cs="黑体"/>
          <w:sz w:val="32"/>
          <w:szCs w:val="32"/>
          <w:lang w:val="en-US" w:eastAsia="zh-CN"/>
        </w:rPr>
        <w:t>主要</w:t>
      </w:r>
      <w:r>
        <w:rPr>
          <w:rFonts w:hint="eastAsia" w:ascii="黑体" w:hAnsi="黑体" w:eastAsia="黑体" w:cs="黑体"/>
          <w:sz w:val="32"/>
          <w:szCs w:val="32"/>
        </w:rPr>
        <w:t>负责人履行推进法治建设第一责任人职</w:t>
      </w:r>
      <w:r>
        <w:rPr>
          <w:rFonts w:hint="eastAsia" w:ascii="黑体" w:hAnsi="黑体" w:eastAsia="黑体" w:cs="黑体"/>
          <w:sz w:val="32"/>
          <w:szCs w:val="32"/>
          <w:lang w:val="en-US" w:eastAsia="zh-CN"/>
        </w:rPr>
        <w:t>责情况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i w:val="0"/>
          <w:iCs w:val="0"/>
          <w:caps w:val="0"/>
          <w:color w:val="000000"/>
          <w:spacing w:val="0"/>
          <w:sz w:val="32"/>
          <w:szCs w:val="32"/>
          <w:shd w:val="clear" w:color="auto" w:fill="FFFFFF"/>
        </w:rPr>
      </w:pPr>
      <w:r>
        <w:rPr>
          <w:rFonts w:hint="eastAsia" w:ascii="楷体" w:hAnsi="楷体" w:eastAsia="楷体" w:cs="楷体"/>
          <w:i w:val="0"/>
          <w:iCs w:val="0"/>
          <w:caps w:val="0"/>
          <w:color w:val="000000"/>
          <w:spacing w:val="0"/>
          <w:sz w:val="32"/>
          <w:szCs w:val="32"/>
          <w:shd w:val="clear" w:color="auto" w:fill="FFFFFF"/>
          <w:lang w:val="en-US" w:eastAsia="zh-CN"/>
        </w:rPr>
        <w:t>（一）</w:t>
      </w:r>
      <w:r>
        <w:rPr>
          <w:rFonts w:hint="eastAsia" w:ascii="楷体" w:hAnsi="楷体" w:eastAsia="楷体" w:cs="楷体"/>
          <w:i w:val="0"/>
          <w:iCs w:val="0"/>
          <w:caps w:val="0"/>
          <w:color w:val="000000"/>
          <w:spacing w:val="0"/>
          <w:sz w:val="32"/>
          <w:szCs w:val="32"/>
          <w:shd w:val="clear" w:color="auto" w:fill="FFFFFF"/>
        </w:rPr>
        <w:t>贯彻落实法治建设决策部署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坚决贯彻落实中办、国办《党政主要负责人履行推进法治建设第一责任人职责规定》和我省、市、县贯彻落实办法，以及中央全面依法治国委员会《关于党政主要负责人履行推进法治建设第一责任人职责情况列入年终述职工作的意见》和省委全面依法治省委员会、市委全面依法治市委员会、县委全面依法治县委员会有关文件精神，找准职责，精准发力，全力推进法治政府建设工作。</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i w:val="0"/>
          <w:iCs w:val="0"/>
          <w:caps w:val="0"/>
          <w:color w:val="000000"/>
          <w:spacing w:val="0"/>
          <w:sz w:val="32"/>
          <w:szCs w:val="32"/>
          <w:shd w:val="clear" w:color="auto" w:fill="FFFFFF"/>
        </w:rPr>
      </w:pPr>
      <w:r>
        <w:rPr>
          <w:rFonts w:hint="eastAsia" w:ascii="楷体" w:hAnsi="楷体" w:eastAsia="楷体" w:cs="楷体"/>
          <w:i w:val="0"/>
          <w:iCs w:val="0"/>
          <w:caps w:val="0"/>
          <w:color w:val="000000"/>
          <w:spacing w:val="0"/>
          <w:sz w:val="32"/>
          <w:szCs w:val="32"/>
          <w:shd w:val="clear" w:color="auto" w:fill="FFFFFF"/>
        </w:rPr>
        <w:t>强化统筹谋划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将法治建设纳入年度工作计划，持续加强法治建设，紧紧围绕法治建设的各项目标任务，进一步加强制度建设，坚持主要领导和分管领导对法治建设重要工作亲自部署、重大问题亲自过问、重点环节亲自协调、重要任务亲自督办，定期听取法治建设工作情况汇报，及时研究解决有关重大问题。</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sz w:val="32"/>
          <w:szCs w:val="32"/>
          <w:lang w:val="en-US" w:eastAsia="zh-CN"/>
        </w:rPr>
        <w:t>2025年度推进法治政府建设的主要举措与成效</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b w:val="0"/>
          <w:bCs w:val="0"/>
          <w:sz w:val="32"/>
          <w:szCs w:val="32"/>
          <w:lang w:val="en-US" w:eastAsia="zh-CN"/>
          <w14:ligatures w14:val="standardContextual"/>
        </w:rPr>
      </w:pPr>
      <w:r>
        <w:rPr>
          <w:rFonts w:hint="eastAsia" w:ascii="楷体" w:hAnsi="楷体" w:eastAsia="楷体" w:cs="楷体"/>
          <w:b w:val="0"/>
          <w:bCs w:val="0"/>
          <w:sz w:val="32"/>
          <w:szCs w:val="32"/>
          <w:lang w:val="en-US" w:eastAsia="zh-CN"/>
          <w14:ligatures w14:val="standardContextual"/>
        </w:rPr>
        <w:t>推动基层治理平台联通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通过数字政府建设推动法治政府建设，主要谋划以“鲁山县数字政府指挥服务中心”项目建设为载体，推动各部门各项数据联通，实现数据共享。“鲁山县数字政府指挥服务中心”项目总体架构概括为“1+1+1+N”体系，即：“一个中心、一个底座、一个中枢、N个应用”：“一个中心”：建设鲁山县数字政府指挥服务中心；“一个底座”：就是部署软件平台所需要的网、算力和存储资源等基础环境的数字底座；“一个中枢”：就是打造“鲁山县数字政府指挥服务中心”中枢平台，具体包括数据中台、能力中台（视频融合平台、运维管理平台、物联网平台、安全防护平台、数字孪生平台）、人工智能中台、能力开放中台等；“N个重点应用”：就是以“数据、事件、服务”为主线，对接政务服务、环保、城管、公安、应急等业务应用，对特色场景进行深度分析、预研预判，为行政审批、政策决策、协同联动、流程优化、领导决策等提供科学高效的能力支撑。包括智慧社区、基层治理、平安建设、安全生产、政务效能监管等平台应用。</w:t>
      </w:r>
    </w:p>
    <w:p>
      <w:pPr>
        <w:keepNext w:val="0"/>
        <w:keepLines w:val="0"/>
        <w:pageBreakBefore w:val="0"/>
        <w:widowControl/>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b w:val="0"/>
          <w:bCs w:val="0"/>
          <w:sz w:val="32"/>
          <w:szCs w:val="32"/>
          <w:lang w:val="en-US" w:eastAsia="zh-CN"/>
          <w14:ligatures w14:val="standardContextual"/>
        </w:rPr>
      </w:pPr>
      <w:r>
        <w:rPr>
          <w:rFonts w:hint="eastAsia" w:ascii="楷体" w:hAnsi="楷体" w:eastAsia="楷体" w:cs="楷体"/>
          <w:b w:val="0"/>
          <w:bCs w:val="0"/>
          <w:sz w:val="32"/>
          <w:szCs w:val="32"/>
          <w:lang w:val="en-US" w:eastAsia="zh-CN"/>
          <w14:ligatures w14:val="standardContextual"/>
        </w:rPr>
        <w:t>推动政务数据上下贯通</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bCs/>
          <w:sz w:val="32"/>
          <w:szCs w:val="32"/>
          <w:lang w:val="en-US" w:eastAsia="zh-CN"/>
          <w14:ligatures w14:val="standardContextual"/>
        </w:rPr>
      </w:pPr>
      <w:r>
        <w:rPr>
          <w:rFonts w:hint="eastAsia" w:ascii="仿宋_GB2312" w:hAnsi="仿宋_GB2312" w:eastAsia="仿宋_GB2312" w:cs="仿宋_GB2312"/>
          <w:b w:val="0"/>
          <w:bCs w:val="0"/>
          <w:sz w:val="32"/>
          <w:szCs w:val="32"/>
          <w:lang w:val="en-US" w:eastAsia="zh-CN"/>
          <w14:ligatures w14:val="standardContextual"/>
        </w:rPr>
        <w:t>加强政务数据管理，涉密的按涉密管理办法进行管理，不涉密的依照程序公开、共享，达到群众、</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企业</w:t>
      </w:r>
      <w:r>
        <w:rPr>
          <w:rFonts w:hint="eastAsia" w:ascii="仿宋_GB2312" w:hAnsi="仿宋_GB2312" w:eastAsia="仿宋_GB2312" w:cs="仿宋_GB2312"/>
          <w:b w:val="0"/>
          <w:bCs w:val="0"/>
          <w:sz w:val="32"/>
          <w:szCs w:val="32"/>
          <w:lang w:val="en-US" w:eastAsia="zh-CN"/>
          <w14:ligatures w14:val="standardContextual"/>
        </w:rPr>
        <w:t>办事方便、快捷、高效，促进法治政府的建设。</w:t>
      </w:r>
      <w:r>
        <w:rPr>
          <w:rFonts w:hint="eastAsia" w:ascii="仿宋_GB2312" w:hAnsi="仿宋_GB2312" w:eastAsia="仿宋_GB2312" w:cs="仿宋_GB2312"/>
          <w:b/>
          <w:bCs/>
          <w:sz w:val="32"/>
          <w:szCs w:val="32"/>
          <w:lang w:val="en-US" w:eastAsia="zh-CN"/>
          <w14:ligatures w14:val="standardContextual"/>
        </w:rPr>
        <w:t>一是</w:t>
      </w:r>
      <w:r>
        <w:rPr>
          <w:rFonts w:hint="eastAsia" w:ascii="仿宋_GB2312" w:hAnsi="仿宋_GB2312" w:eastAsia="仿宋_GB2312" w:cs="仿宋_GB2312"/>
          <w:b w:val="0"/>
          <w:bCs w:val="0"/>
          <w:sz w:val="32"/>
          <w:szCs w:val="32"/>
          <w:lang w:val="en-US" w:eastAsia="zh-CN"/>
          <w14:ligatures w14:val="standardContextual"/>
        </w:rPr>
        <w:t>推进‌数据共享机制建设，建立了政务数据共享协调机制，编制了数据资源目录和共享要素清单等。</w:t>
      </w:r>
      <w:r>
        <w:rPr>
          <w:rFonts w:hint="eastAsia" w:ascii="仿宋_GB2312" w:hAnsi="仿宋_GB2312" w:eastAsia="仿宋_GB2312" w:cs="仿宋_GB2312"/>
          <w:b/>
          <w:bCs/>
          <w:sz w:val="32"/>
          <w:szCs w:val="32"/>
          <w:lang w:val="en-US" w:eastAsia="zh-CN"/>
          <w14:ligatures w14:val="standardContextual"/>
        </w:rPr>
        <w:t>二是</w:t>
      </w:r>
      <w:r>
        <w:rPr>
          <w:rFonts w:hint="eastAsia" w:ascii="仿宋_GB2312" w:hAnsi="仿宋_GB2312" w:eastAsia="仿宋_GB2312" w:cs="仿宋_GB2312"/>
          <w:b w:val="0"/>
          <w:bCs w:val="0"/>
          <w:sz w:val="32"/>
          <w:szCs w:val="32"/>
          <w:lang w:val="en-US" w:eastAsia="zh-CN"/>
          <w14:ligatures w14:val="standardContextual"/>
        </w:rPr>
        <w:t>依托市政务数据共享交换平台，实现数据互联互通和资源共享，并通过“全豫通办”“跨省通办”系统深化服务便利化‌。</w:t>
      </w:r>
      <w:r>
        <w:rPr>
          <w:rFonts w:hint="eastAsia" w:ascii="仿宋_GB2312" w:hAnsi="仿宋_GB2312" w:eastAsia="仿宋_GB2312" w:cs="仿宋_GB2312"/>
          <w:b/>
          <w:bCs/>
          <w:sz w:val="32"/>
          <w:szCs w:val="32"/>
          <w:lang w:val="en-US" w:eastAsia="zh-CN"/>
          <w14:ligatures w14:val="standardContextual"/>
        </w:rPr>
        <w:t>三是</w:t>
      </w:r>
      <w:r>
        <w:rPr>
          <w:rFonts w:hint="eastAsia" w:ascii="仿宋_GB2312" w:hAnsi="仿宋_GB2312" w:eastAsia="仿宋_GB2312" w:cs="仿宋_GB2312"/>
          <w:b w:val="0"/>
          <w:bCs w:val="0"/>
          <w:sz w:val="32"/>
          <w:szCs w:val="32"/>
          <w:lang w:val="en-US" w:eastAsia="zh-CN"/>
          <w14:ligatures w14:val="standardContextual"/>
        </w:rPr>
        <w:t>认真开展视频资源整合工作，涉及公安、消防、林业等15个单位，累计整合视频资源16672路汇集到市级平台。</w:t>
      </w:r>
      <w:r>
        <w:rPr>
          <w:rFonts w:hint="eastAsia" w:ascii="仿宋_GB2312" w:hAnsi="仿宋_GB2312" w:eastAsia="仿宋_GB2312" w:cs="仿宋_GB2312"/>
          <w:b/>
          <w:bCs/>
          <w:sz w:val="32"/>
          <w:szCs w:val="32"/>
          <w:lang w:val="en-US" w:eastAsia="zh-CN"/>
          <w14:ligatures w14:val="standardContextual"/>
        </w:rPr>
        <w:t>四是</w:t>
      </w:r>
      <w:r>
        <w:rPr>
          <w:rFonts w:hint="eastAsia" w:ascii="仿宋_GB2312" w:hAnsi="仿宋_GB2312" w:eastAsia="仿宋_GB2312" w:cs="仿宋_GB2312"/>
          <w:b w:val="0"/>
          <w:bCs w:val="0"/>
          <w:sz w:val="32"/>
          <w:szCs w:val="32"/>
          <w:lang w:val="en-US" w:eastAsia="zh-CN"/>
          <w14:ligatures w14:val="standardContextual"/>
        </w:rPr>
        <w:t>推动‌电子证照应用，今年以来生成电子证照13540件，极大减少了群众跑腿次数。通过采取这些措施，进一步提升了基层治理的智能化和便捷性，确保数据直达基层解决实际问题。</w:t>
      </w:r>
    </w:p>
    <w:p>
      <w:pPr>
        <w:keepNext w:val="0"/>
        <w:keepLines w:val="0"/>
        <w:pageBreakBefore w:val="0"/>
        <w:widowControl/>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b w:val="0"/>
          <w:bCs w:val="0"/>
          <w:sz w:val="32"/>
          <w:szCs w:val="32"/>
          <w:lang w:val="en-US" w:eastAsia="zh-CN"/>
          <w14:ligatures w14:val="standardContextual"/>
        </w:rPr>
      </w:pPr>
      <w:r>
        <w:rPr>
          <w:rFonts w:hint="eastAsia" w:ascii="楷体" w:hAnsi="楷体" w:eastAsia="楷体" w:cs="楷体"/>
          <w:b w:val="0"/>
          <w:bCs w:val="0"/>
          <w:sz w:val="32"/>
          <w:szCs w:val="32"/>
          <w:lang w:val="en-US" w:eastAsia="zh-CN"/>
          <w14:ligatures w14:val="standardContextual"/>
        </w:rPr>
        <w:t>推动“高效办成一件事”融通</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14:ligatures w14:val="standardContextual"/>
        </w:rPr>
      </w:pPr>
      <w:r>
        <w:rPr>
          <w:rFonts w:hint="eastAsia" w:ascii="仿宋_GB2312" w:hAnsi="仿宋_GB2312" w:eastAsia="仿宋_GB2312" w:cs="仿宋_GB2312"/>
          <w:b w:val="0"/>
          <w:bCs w:val="0"/>
          <w:sz w:val="32"/>
          <w:szCs w:val="32"/>
          <w:lang w:val="en-US" w:eastAsia="zh-CN"/>
          <w14:ligatures w14:val="standardContextual"/>
        </w:rPr>
        <w:t>“高效办成一件事”的高效开展，进一步让“群众少跑腿数据多跑路”成为常态，提高了广大企业、群众的办事效率，提升了满意度。</w:t>
      </w:r>
      <w:r>
        <w:rPr>
          <w:rFonts w:hint="eastAsia" w:ascii="仿宋_GB2312" w:hAnsi="仿宋_GB2312" w:eastAsia="仿宋_GB2312" w:cs="仿宋_GB2312"/>
          <w:b/>
          <w:bCs/>
          <w:sz w:val="32"/>
          <w:szCs w:val="32"/>
          <w:lang w:val="en-US" w:eastAsia="zh-CN"/>
          <w14:ligatures w14:val="standardContextual"/>
        </w:rPr>
        <w:t>一是</w:t>
      </w:r>
      <w:r>
        <w:rPr>
          <w:rFonts w:hint="eastAsia" w:ascii="仿宋_GB2312" w:hAnsi="仿宋_GB2312" w:eastAsia="仿宋_GB2312" w:cs="仿宋_GB2312"/>
          <w:b w:val="0"/>
          <w:bCs w:val="0"/>
          <w:sz w:val="32"/>
          <w:szCs w:val="32"/>
          <w:lang w:val="en-US" w:eastAsia="zh-CN"/>
          <w14:ligatures w14:val="standardContextual"/>
        </w:rPr>
        <w:t>专班推进。成立</w:t>
      </w:r>
      <w:r>
        <w:rPr>
          <w:rFonts w:hint="eastAsia" w:ascii="仿宋_GB2312" w:hAnsi="仿宋_GB2312" w:eastAsia="仿宋_GB2312" w:cs="仿宋_GB2312"/>
          <w:b w:val="0"/>
          <w:bCs w:val="0"/>
          <w:sz w:val="32"/>
          <w:szCs w:val="32"/>
          <w:lang w:eastAsia="zh-CN"/>
          <w14:ligatures w14:val="standardContextual"/>
        </w:rPr>
        <w:t>“</w:t>
      </w:r>
      <w:r>
        <w:rPr>
          <w:rFonts w:hint="eastAsia" w:ascii="仿宋_GB2312" w:hAnsi="仿宋_GB2312" w:eastAsia="仿宋_GB2312" w:cs="仿宋_GB2312"/>
          <w:b w:val="0"/>
          <w:bCs w:val="0"/>
          <w:sz w:val="32"/>
          <w:szCs w:val="32"/>
          <w14:ligatures w14:val="standardContextual"/>
        </w:rPr>
        <w:t>高效办成一件事”</w:t>
      </w:r>
      <w:r>
        <w:rPr>
          <w:rFonts w:hint="eastAsia" w:ascii="仿宋_GB2312" w:hAnsi="仿宋_GB2312" w:eastAsia="仿宋_GB2312" w:cs="仿宋_GB2312"/>
          <w:b w:val="0"/>
          <w:bCs w:val="0"/>
          <w:sz w:val="32"/>
          <w:szCs w:val="32"/>
          <w:lang w:val="en-US" w:eastAsia="zh-CN"/>
          <w14:ligatures w14:val="standardContextual"/>
        </w:rPr>
        <w:t>专班，专班通过分析研判、召开碰头会、督导指导、下发通报等方式，破解难题，推动</w:t>
      </w:r>
      <w:r>
        <w:rPr>
          <w:rFonts w:hint="eastAsia" w:ascii="仿宋_GB2312" w:hAnsi="仿宋_GB2312" w:eastAsia="仿宋_GB2312" w:cs="仿宋_GB2312"/>
          <w:b w:val="0"/>
          <w:bCs w:val="0"/>
          <w:sz w:val="32"/>
          <w:szCs w:val="32"/>
          <w:lang w:eastAsia="zh-CN"/>
          <w14:ligatures w14:val="standardContextual"/>
        </w:rPr>
        <w:t>“</w:t>
      </w:r>
      <w:r>
        <w:rPr>
          <w:rFonts w:hint="eastAsia" w:ascii="仿宋_GB2312" w:hAnsi="仿宋_GB2312" w:eastAsia="仿宋_GB2312" w:cs="仿宋_GB2312"/>
          <w:b w:val="0"/>
          <w:bCs w:val="0"/>
          <w:sz w:val="32"/>
          <w:szCs w:val="32"/>
          <w14:ligatures w14:val="standardContextual"/>
        </w:rPr>
        <w:t>高效办成一件事”</w:t>
      </w:r>
      <w:r>
        <w:rPr>
          <w:rFonts w:hint="eastAsia" w:ascii="仿宋_GB2312" w:hAnsi="仿宋_GB2312" w:eastAsia="仿宋_GB2312" w:cs="仿宋_GB2312"/>
          <w:b w:val="0"/>
          <w:bCs w:val="0"/>
          <w:sz w:val="32"/>
          <w:szCs w:val="32"/>
          <w:lang w:val="en-US" w:eastAsia="zh-CN"/>
          <w14:ligatures w14:val="standardContextual"/>
        </w:rPr>
        <w:t>工作顺利开展。</w:t>
      </w:r>
      <w:r>
        <w:rPr>
          <w:rFonts w:hint="eastAsia" w:ascii="仿宋_GB2312" w:hAnsi="仿宋_GB2312" w:eastAsia="仿宋_GB2312" w:cs="仿宋_GB2312"/>
          <w:b/>
          <w:bCs/>
          <w:sz w:val="32"/>
          <w:szCs w:val="32"/>
          <w:lang w:val="en-US" w:eastAsia="zh-CN"/>
          <w14:ligatures w14:val="standardContextual"/>
        </w:rPr>
        <w:t>二是</w:t>
      </w:r>
      <w:r>
        <w:rPr>
          <w:rFonts w:hint="eastAsia" w:ascii="仿宋_GB2312" w:hAnsi="仿宋_GB2312" w:eastAsia="仿宋_GB2312" w:cs="仿宋_GB2312"/>
          <w:b w:val="0"/>
          <w:bCs w:val="0"/>
          <w:sz w:val="32"/>
          <w:szCs w:val="32"/>
          <w:lang w:val="en-US" w:eastAsia="zh-CN"/>
          <w14:ligatures w14:val="standardContextual"/>
        </w:rPr>
        <w:t>简化流程。</w:t>
      </w:r>
      <w:r>
        <w:rPr>
          <w:rFonts w:hint="eastAsia" w:ascii="仿宋_GB2312" w:hAnsi="仿宋_GB2312" w:eastAsia="仿宋_GB2312" w:cs="仿宋_GB2312"/>
          <w:b w:val="0"/>
          <w:bCs w:val="0"/>
          <w:sz w:val="32"/>
          <w:szCs w:val="32"/>
          <w14:ligatures w14:val="standardContextual"/>
        </w:rPr>
        <w:t>推动数据贯通共享，实现政务服务“一网通办”</w:t>
      </w:r>
      <w:r>
        <w:rPr>
          <w:rFonts w:hint="eastAsia" w:ascii="仿宋_GB2312" w:hAnsi="仿宋_GB2312" w:eastAsia="仿宋_GB2312" w:cs="仿宋_GB2312"/>
          <w:b w:val="0"/>
          <w:bCs w:val="0"/>
          <w:sz w:val="32"/>
          <w:szCs w:val="32"/>
          <w:lang w:eastAsia="zh-CN"/>
          <w14:ligatures w14:val="standardContextual"/>
        </w:rPr>
        <w:t>，</w:t>
      </w:r>
      <w:r>
        <w:rPr>
          <w:rFonts w:hint="eastAsia" w:ascii="仿宋_GB2312" w:hAnsi="仿宋_GB2312" w:eastAsia="仿宋_GB2312" w:cs="仿宋_GB2312"/>
          <w:b w:val="0"/>
          <w:bCs w:val="0"/>
          <w:sz w:val="32"/>
          <w:szCs w:val="32"/>
          <w:lang w:val="en-US" w:eastAsia="zh-CN"/>
          <w14:ligatures w14:val="standardContextual"/>
        </w:rPr>
        <w:t>推进</w:t>
      </w:r>
      <w:r>
        <w:rPr>
          <w:rFonts w:hint="eastAsia" w:ascii="仿宋_GB2312" w:hAnsi="仿宋_GB2312" w:eastAsia="仿宋_GB2312" w:cs="仿宋_GB2312"/>
          <w:b w:val="0"/>
          <w:bCs w:val="0"/>
          <w:sz w:val="32"/>
          <w:szCs w:val="32"/>
          <w14:ligatures w14:val="standardContextual"/>
        </w:rPr>
        <w:t>“高效办成一件事”</w:t>
      </w:r>
      <w:r>
        <w:rPr>
          <w:rFonts w:hint="eastAsia" w:ascii="仿宋_GB2312" w:hAnsi="仿宋_GB2312" w:eastAsia="仿宋_GB2312" w:cs="仿宋_GB2312"/>
          <w:b w:val="0"/>
          <w:bCs w:val="0"/>
          <w:sz w:val="32"/>
          <w:szCs w:val="32"/>
          <w:lang w:val="en-US" w:eastAsia="zh-CN"/>
          <w14:ligatures w14:val="standardContextual"/>
        </w:rPr>
        <w:t>工作</w:t>
      </w:r>
      <w:r>
        <w:rPr>
          <w:rFonts w:hint="eastAsia" w:ascii="仿宋_GB2312" w:hAnsi="仿宋_GB2312" w:eastAsia="仿宋_GB2312" w:cs="仿宋_GB2312"/>
          <w:b w:val="0"/>
          <w:bCs w:val="0"/>
          <w:sz w:val="32"/>
          <w:szCs w:val="32"/>
          <w:lang w:eastAsia="zh-CN"/>
          <w14:ligatures w14:val="standardContextual"/>
        </w:rPr>
        <w:t>。</w:t>
      </w:r>
      <w:r>
        <w:rPr>
          <w:rFonts w:hint="eastAsia" w:ascii="仿宋_GB2312" w:hAnsi="仿宋_GB2312" w:eastAsia="仿宋_GB2312" w:cs="仿宋_GB2312"/>
          <w:b w:val="0"/>
          <w:bCs w:val="0"/>
          <w:sz w:val="32"/>
          <w:szCs w:val="32"/>
          <w:lang w:val="en-US" w:eastAsia="zh-CN"/>
          <w14:ligatures w14:val="standardContextual"/>
        </w:rPr>
        <w:t>简化办事流程，</w:t>
      </w:r>
      <w:r>
        <w:rPr>
          <w:rFonts w:hint="eastAsia" w:ascii="仿宋_GB2312" w:hAnsi="仿宋_GB2312" w:eastAsia="仿宋_GB2312" w:cs="仿宋_GB2312"/>
          <w:b w:val="0"/>
          <w:bCs w:val="0"/>
          <w:sz w:val="32"/>
          <w:szCs w:val="32"/>
          <w14:ligatures w14:val="standardContextual"/>
        </w:rPr>
        <w:t>按照“一表申请、一套材料、一本指南、一窗(端)受理、一网办理、限时办结、统一出件”的工作标准</w:t>
      </w:r>
      <w:r>
        <w:rPr>
          <w:rFonts w:hint="eastAsia" w:ascii="仿宋_GB2312" w:hAnsi="仿宋_GB2312" w:eastAsia="仿宋_GB2312" w:cs="仿宋_GB2312"/>
          <w:b w:val="0"/>
          <w:bCs w:val="0"/>
          <w:sz w:val="32"/>
          <w:szCs w:val="32"/>
          <w:lang w:eastAsia="zh-CN"/>
          <w14:ligatures w14:val="standardContextual"/>
        </w:rPr>
        <w:t>，</w:t>
      </w:r>
      <w:r>
        <w:rPr>
          <w:rFonts w:hint="eastAsia" w:ascii="仿宋_GB2312" w:hAnsi="仿宋_GB2312" w:eastAsia="仿宋_GB2312" w:cs="仿宋_GB2312"/>
          <w:b w:val="0"/>
          <w:bCs w:val="0"/>
          <w:sz w:val="32"/>
          <w:szCs w:val="32"/>
          <w:lang w:val="en-US" w:eastAsia="zh-CN"/>
          <w14:ligatures w14:val="standardContextual"/>
        </w:rPr>
        <w:t>专班</w:t>
      </w:r>
      <w:r>
        <w:rPr>
          <w:rFonts w:hint="eastAsia" w:ascii="仿宋_GB2312" w:hAnsi="仿宋_GB2312" w:eastAsia="仿宋_GB2312" w:cs="仿宋_GB2312"/>
          <w:b w:val="0"/>
          <w:bCs w:val="0"/>
          <w:sz w:val="32"/>
          <w:szCs w:val="32"/>
          <w14:ligatures w14:val="standardContextual"/>
        </w:rPr>
        <w:t>做深做细事项梳理、</w:t>
      </w:r>
      <w:r>
        <w:rPr>
          <w:rFonts w:hint="eastAsia" w:ascii="仿宋_GB2312" w:hAnsi="仿宋_GB2312" w:eastAsia="仿宋_GB2312" w:cs="仿宋_GB2312"/>
          <w:b w:val="0"/>
          <w:bCs w:val="0"/>
          <w:sz w:val="32"/>
          <w:szCs w:val="32"/>
          <w:lang w:val="en-US" w:eastAsia="zh-CN"/>
          <w14:ligatures w14:val="standardContextual"/>
        </w:rPr>
        <w:t>实现</w:t>
      </w:r>
      <w:r>
        <w:rPr>
          <w:rFonts w:hint="eastAsia" w:ascii="仿宋_GB2312" w:hAnsi="仿宋_GB2312" w:eastAsia="仿宋_GB2312" w:cs="仿宋_GB2312"/>
          <w:b w:val="0"/>
          <w:bCs w:val="0"/>
          <w:sz w:val="32"/>
          <w:szCs w:val="32"/>
          <w14:ligatures w14:val="standardContextual"/>
        </w:rPr>
        <w:t>流程重塑</w:t>
      </w:r>
      <w:r>
        <w:rPr>
          <w:rFonts w:hint="eastAsia" w:ascii="仿宋_GB2312" w:hAnsi="仿宋_GB2312" w:eastAsia="仿宋_GB2312" w:cs="仿宋_GB2312"/>
          <w:b w:val="0"/>
          <w:bCs w:val="0"/>
          <w:sz w:val="32"/>
          <w:szCs w:val="32"/>
          <w:lang w:eastAsia="zh-CN"/>
          <w14:ligatures w14:val="standardContextual"/>
        </w:rPr>
        <w:t>。</w:t>
      </w:r>
      <w:r>
        <w:rPr>
          <w:rFonts w:hint="eastAsia" w:ascii="仿宋_GB2312" w:hAnsi="仿宋_GB2312" w:eastAsia="仿宋_GB2312" w:cs="仿宋_GB2312"/>
          <w:b/>
          <w:bCs/>
          <w:sz w:val="32"/>
          <w:szCs w:val="32"/>
          <w:lang w:val="en-US" w:eastAsia="zh-CN"/>
          <w14:ligatures w14:val="standardContextual"/>
        </w:rPr>
        <w:t>三是</w:t>
      </w:r>
      <w:r>
        <w:rPr>
          <w:rFonts w:hint="eastAsia" w:ascii="仿宋_GB2312" w:hAnsi="仿宋_GB2312" w:eastAsia="仿宋_GB2312" w:cs="仿宋_GB2312"/>
          <w:b w:val="0"/>
          <w:bCs w:val="0"/>
          <w:sz w:val="32"/>
          <w:szCs w:val="32"/>
          <w:lang w:val="en-US" w:eastAsia="zh-CN"/>
          <w14:ligatures w14:val="standardContextual"/>
        </w:rPr>
        <w:t>帮办代办。</w:t>
      </w:r>
      <w:r>
        <w:rPr>
          <w:rFonts w:hint="eastAsia" w:ascii="仿宋_GB2312" w:hAnsi="仿宋_GB2312" w:eastAsia="仿宋_GB2312" w:cs="仿宋_GB2312"/>
          <w:b w:val="0"/>
          <w:bCs w:val="0"/>
          <w:sz w:val="32"/>
          <w:szCs w:val="32"/>
          <w14:ligatures w14:val="standardContextual"/>
        </w:rPr>
        <w:t>帮办代办队伍</w:t>
      </w:r>
      <w:r>
        <w:rPr>
          <w:rFonts w:hint="eastAsia" w:ascii="仿宋_GB2312" w:hAnsi="仿宋_GB2312" w:eastAsia="仿宋_GB2312" w:cs="仿宋_GB2312"/>
          <w:b w:val="0"/>
          <w:bCs w:val="0"/>
          <w:sz w:val="32"/>
          <w:szCs w:val="32"/>
          <w:lang w:val="en-US" w:eastAsia="zh-CN"/>
          <w14:ligatures w14:val="standardContextual"/>
        </w:rPr>
        <w:t>每天轮流值班，</w:t>
      </w:r>
      <w:r>
        <w:rPr>
          <w:rFonts w:hint="eastAsia" w:ascii="仿宋_GB2312" w:hAnsi="仿宋_GB2312" w:eastAsia="仿宋_GB2312" w:cs="仿宋_GB2312"/>
          <w:b w:val="0"/>
          <w:bCs w:val="0"/>
          <w:sz w:val="32"/>
          <w:szCs w:val="32"/>
          <w14:ligatures w14:val="standardContextual"/>
        </w:rPr>
        <w:t>为企业和群众提供从准备材料、网上提交、审批打证等各个环节“全领域、全流程、全方位”的帮办代办服务，切实解决企业、群众办事过程中的疑问和难题。</w:t>
      </w:r>
      <w:r>
        <w:rPr>
          <w:rFonts w:hint="eastAsia" w:ascii="仿宋_GB2312" w:hAnsi="仿宋_GB2312" w:eastAsia="仿宋_GB2312" w:cs="仿宋_GB2312"/>
          <w:sz w:val="32"/>
          <w:szCs w:val="32"/>
          <w:lang w:val="en-US" w:eastAsia="zh-CN"/>
          <w14:ligatures w14:val="standardContextual"/>
        </w:rPr>
        <w:t>截至目前，已梳理出县有权限办理的有34件，已实现线上线下办理全覆盖，累计办件1万1千余件，全市办件量我县位居第一。并在2025年底按照“高效办成一件事”改革部署，结合我县旅游城市建设规划，谋划了“开办民宿一件事”特色事项，由我局统筹，协调县公安局、县消防局、县卫健委、县烟草局、县文广旅局等部门，建立联办机制，将多项审批事项整合优化，切实提升民宿开办便利度，助力文旅产业高质量发展。</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三、2025年度推进法治政府建设存在的不足、原因和问题整改情况</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14:ligatures w14:val="standardContextual"/>
        </w:rPr>
      </w:pPr>
      <w:r>
        <w:rPr>
          <w:rFonts w:hint="eastAsia" w:ascii="仿宋_GB2312" w:hAnsi="仿宋_GB2312" w:eastAsia="仿宋_GB2312" w:cs="仿宋_GB2312"/>
          <w:b w:val="0"/>
          <w:bCs w:val="0"/>
          <w:sz w:val="32"/>
          <w:szCs w:val="32"/>
          <w:lang w:val="en-US" w:eastAsia="zh-CN"/>
          <w14:ligatures w14:val="standardContextual"/>
        </w:rPr>
        <w:t>存在问题及主要原因：</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val="0"/>
          <w:bCs w:val="0"/>
          <w:sz w:val="32"/>
          <w:szCs w:val="32"/>
          <w:lang w:val="en-US" w:eastAsia="zh-CN"/>
          <w14:ligatures w14:val="standardContextual"/>
        </w:rPr>
      </w:pPr>
      <w:r>
        <w:rPr>
          <w:rFonts w:hint="eastAsia" w:ascii="仿宋_GB2312" w:hAnsi="仿宋_GB2312" w:eastAsia="仿宋_GB2312" w:cs="仿宋_GB2312"/>
          <w:b/>
          <w:bCs/>
          <w:sz w:val="32"/>
          <w:szCs w:val="32"/>
          <w:lang w:val="en-US" w:eastAsia="zh-CN"/>
          <w14:ligatures w14:val="standardContextual"/>
        </w:rPr>
        <w:t>一是</w:t>
      </w:r>
      <w:r>
        <w:rPr>
          <w:rFonts w:hint="eastAsia" w:ascii="仿宋_GB2312" w:hAnsi="仿宋_GB2312" w:eastAsia="仿宋_GB2312" w:cs="仿宋_GB2312"/>
          <w:b w:val="0"/>
          <w:bCs w:val="0"/>
          <w:sz w:val="32"/>
          <w:szCs w:val="32"/>
          <w:lang w:val="en-US" w:eastAsia="zh-CN"/>
          <w14:ligatures w14:val="standardContextual"/>
        </w:rPr>
        <w:t>对法治理论未做到学深悟透。</w:t>
      </w:r>
      <w:r>
        <w:rPr>
          <w:rFonts w:hint="eastAsia" w:ascii="仿宋_GB2312" w:hAnsi="仿宋_GB2312" w:eastAsia="仿宋_GB2312" w:cs="仿宋_GB2312"/>
          <w:b w:val="0"/>
          <w:bCs w:val="0"/>
          <w:sz w:val="32"/>
          <w:szCs w:val="32"/>
          <w:lang w:val="en-US" w:eastAsia="zh-CN"/>
          <w14:ligatures w14:val="standardContextual"/>
        </w:rPr>
        <w:t>学习领会习近平法治思想不够深入，在实践中学习重点往往是重视法律条文，轻视法治理念、法治精神的传播与渗透。</w:t>
      </w:r>
      <w:r>
        <w:rPr>
          <w:rFonts w:hint="eastAsia" w:ascii="仿宋_GB2312" w:hAnsi="仿宋_GB2312" w:eastAsia="仿宋_GB2312" w:cs="仿宋_GB2312"/>
          <w:b/>
          <w:bCs/>
          <w:sz w:val="32"/>
          <w:szCs w:val="32"/>
          <w:lang w:val="en-US" w:eastAsia="zh-CN"/>
          <w14:ligatures w14:val="standardContextual"/>
        </w:rPr>
        <w:t>二是</w:t>
      </w:r>
      <w:r>
        <w:rPr>
          <w:rFonts w:hint="eastAsia" w:ascii="仿宋_GB2312" w:hAnsi="仿宋_GB2312" w:eastAsia="仿宋_GB2312" w:cs="仿宋_GB2312"/>
          <w:b w:val="0"/>
          <w:bCs w:val="0"/>
          <w:sz w:val="32"/>
          <w:szCs w:val="32"/>
          <w:lang w:val="en-US" w:eastAsia="zh-CN"/>
          <w14:ligatures w14:val="standardContextual"/>
        </w:rPr>
        <w:t>法治建设学习宣传不够。</w:t>
      </w:r>
      <w:r>
        <w:rPr>
          <w:rFonts w:hint="eastAsia" w:ascii="仿宋_GB2312" w:hAnsi="仿宋_GB2312" w:eastAsia="仿宋_GB2312" w:cs="仿宋_GB2312"/>
          <w:b w:val="0"/>
          <w:bCs w:val="0"/>
          <w:sz w:val="32"/>
          <w:szCs w:val="32"/>
          <w:lang w:val="en-US" w:eastAsia="zh-CN"/>
          <w14:ligatures w14:val="standardContextual"/>
        </w:rPr>
        <w:t>普法宣传仍以传统的现场宣传、发放手册为主，运用新媒体、新平台开展精准普法的力度不够，普法内容的趣味性、互动性不强，难以充分满足企业群众多样化的学法需求。</w:t>
      </w:r>
    </w:p>
    <w:p>
      <w:pPr>
        <w:pStyle w:val="2"/>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lang w:val="en-US" w:eastAsia="zh-CN"/>
        </w:rPr>
      </w:pPr>
      <w:r>
        <w:rPr>
          <w:rFonts w:hint="eastAsia" w:ascii="仿宋_GB2312" w:hAnsi="仿宋_GB2312" w:eastAsia="仿宋_GB2312" w:cs="仿宋_GB2312"/>
          <w:b w:val="0"/>
          <w:bCs w:val="0"/>
          <w:sz w:val="32"/>
          <w:szCs w:val="32"/>
          <w:lang w:val="en-US" w:eastAsia="zh-CN"/>
          <w14:ligatures w14:val="standardContextual"/>
        </w:rPr>
        <w:t>整改情况：我局持续强化对全体干部职工法治宣传教育，切实提升全体干部职工法治意识。同时，注重深化融合赋能，提升法治建设实践成效，行政审批和政务信息管理局坚持把法治建设贯穿全局工作全过程，推动法治与我县经济发展、基层治理、民生保障等中心工作深度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四、下一年度法治政府建设的主要工作安排</w:t>
      </w:r>
    </w:p>
    <w:p>
      <w:pPr>
        <w:keepNext w:val="0"/>
        <w:keepLines w:val="0"/>
        <w:pageBreakBefore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深入学习贯彻习近平法治思想</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14:ligatures w14:val="standardContextual"/>
        </w:rPr>
      </w:pPr>
      <w:r>
        <w:rPr>
          <w:rFonts w:hint="eastAsia" w:ascii="仿宋_GB2312" w:hAnsi="仿宋_GB2312" w:eastAsia="仿宋_GB2312" w:cs="仿宋_GB2312"/>
          <w:b w:val="0"/>
          <w:bCs w:val="0"/>
          <w:sz w:val="32"/>
          <w:szCs w:val="32"/>
          <w:lang w:val="en-US" w:eastAsia="zh-CN"/>
          <w14:ligatures w14:val="standardContextual"/>
        </w:rPr>
        <w:t>深入开展学习。把学习习近平法治思想作为党组会议、理论中心组、党支部集中学习的重要内容，学出信仰信念，学出本领成效；抓好贯彻落实。始终坚持党的领导，切实加强自身建设，进一步做好行政审批和政务信息管理各项工作。</w:t>
      </w:r>
    </w:p>
    <w:p>
      <w:pPr>
        <w:pStyle w:val="5"/>
        <w:keepNext w:val="0"/>
        <w:keepLines w:val="0"/>
        <w:pageBreakBefore w:val="0"/>
        <w:widowControl/>
        <w:numPr>
          <w:ilvl w:val="0"/>
          <w:numId w:val="3"/>
        </w:numPr>
        <w:suppressLineNumbers w:val="0"/>
        <w:shd w:val="clear" w:color="auto" w:fill="FFFFFF"/>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楷体" w:hAnsi="楷体" w:eastAsia="楷体" w:cs="楷体"/>
          <w:i w:val="0"/>
          <w:iCs w:val="0"/>
          <w:caps w:val="0"/>
          <w:color w:val="000000"/>
          <w:spacing w:val="0"/>
          <w:sz w:val="32"/>
          <w:szCs w:val="32"/>
          <w:shd w:val="clear" w:color="auto" w:fill="FFFFFF"/>
          <w:lang w:val="en-US" w:eastAsia="zh-CN"/>
        </w:rPr>
      </w:pPr>
      <w:r>
        <w:rPr>
          <w:rFonts w:hint="eastAsia" w:ascii="楷体" w:hAnsi="楷体" w:eastAsia="楷体" w:cs="楷体"/>
          <w:i w:val="0"/>
          <w:iCs w:val="0"/>
          <w:caps w:val="0"/>
          <w:color w:val="000000"/>
          <w:spacing w:val="0"/>
          <w:sz w:val="32"/>
          <w:szCs w:val="32"/>
          <w:shd w:val="clear" w:color="auto" w:fill="FFFFFF"/>
          <w:lang w:val="en-US" w:eastAsia="zh-CN"/>
        </w:rPr>
        <w:t>继续做好法治宣传工作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14:ligatures w14:val="standardContextual"/>
        </w:rPr>
      </w:pPr>
      <w:r>
        <w:rPr>
          <w:rFonts w:hint="eastAsia" w:ascii="仿宋_GB2312" w:hAnsi="仿宋_GB2312" w:eastAsia="仿宋_GB2312" w:cs="仿宋_GB2312"/>
          <w:b w:val="0"/>
          <w:bCs w:val="0"/>
          <w:sz w:val="32"/>
          <w:szCs w:val="32"/>
          <w:lang w:val="en-US" w:eastAsia="zh-CN"/>
          <w14:ligatures w14:val="standardContextual"/>
        </w:rPr>
        <w:t>充分利用微信公众号、电子屏等媒体宣传平台，积极开展法治建设宣传工作，积极加强干部学习相关法律法规，积极运用大数据规范治理效能，提升政务服务能力，推动工作全面依法履行职能。</w:t>
      </w:r>
    </w:p>
    <w:p>
      <w:pPr>
        <w:pStyle w:val="2"/>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方正仿宋_GB2312" w:hAnsi="方正仿宋_GB2312" w:eastAsia="方正仿宋_GB2312" w:cs="方正仿宋_GB2312"/>
          <w:sz w:val="32"/>
          <w:szCs w:val="32"/>
        </w:rPr>
      </w:pPr>
    </w:p>
    <w:p>
      <w:pPr>
        <w:pStyle w:val="2"/>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方正仿宋_GB2312" w:hAnsi="方正仿宋_GB2312" w:eastAsia="方正仿宋_GB2312" w:cs="方正仿宋_GB2312"/>
          <w:sz w:val="32"/>
          <w:szCs w:val="32"/>
        </w:rPr>
      </w:pPr>
    </w:p>
    <w:p>
      <w:pPr>
        <w:pStyle w:val="2"/>
        <w:keepNext w:val="0"/>
        <w:keepLines w:val="0"/>
        <w:pageBreakBefore w:val="0"/>
        <w:kinsoku/>
        <w:wordWrap/>
        <w:overflowPunct/>
        <w:topLinePunct w:val="0"/>
        <w:autoSpaceDE/>
        <w:autoSpaceDN/>
        <w:bidi w:val="0"/>
        <w:adjustRightInd/>
        <w:snapToGrid/>
        <w:spacing w:line="580" w:lineRule="exact"/>
        <w:ind w:firstLine="5120" w:firstLineChars="1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2026年2月3日</w:t>
      </w:r>
    </w:p>
    <w:p>
      <w:pPr>
        <w:keepNext w:val="0"/>
        <w:keepLines w:val="0"/>
        <w:pageBreakBefore w:val="0"/>
        <w:kinsoku/>
        <w:wordWrap/>
        <w:overflowPunct/>
        <w:topLinePunct w:val="0"/>
        <w:autoSpaceDE/>
        <w:autoSpaceDN/>
        <w:bidi w:val="0"/>
        <w:adjustRightInd/>
        <w:snapToGrid/>
        <w:spacing w:line="240" w:lineRule="auto"/>
        <w:textAlignment w:val="auto"/>
      </w:pP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E6099"/>
    <w:multiLevelType w:val="singleLevel"/>
    <w:tmpl w:val="DF7E6099"/>
    <w:lvl w:ilvl="0" w:tentative="0">
      <w:start w:val="2"/>
      <w:numFmt w:val="chineseCounting"/>
      <w:suff w:val="nothing"/>
      <w:lvlText w:val="（%1）"/>
      <w:lvlJc w:val="left"/>
      <w:rPr>
        <w:rFonts w:hint="eastAsia"/>
      </w:rPr>
    </w:lvl>
  </w:abstractNum>
  <w:abstractNum w:abstractNumId="1">
    <w:nsid w:val="EC1D3E48"/>
    <w:multiLevelType w:val="singleLevel"/>
    <w:tmpl w:val="EC1D3E48"/>
    <w:lvl w:ilvl="0" w:tentative="0">
      <w:start w:val="1"/>
      <w:numFmt w:val="chineseCounting"/>
      <w:suff w:val="nothing"/>
      <w:lvlText w:val="（%1）"/>
      <w:lvlJc w:val="left"/>
      <w:rPr>
        <w:rFonts w:hint="eastAsia"/>
      </w:rPr>
    </w:lvl>
  </w:abstractNum>
  <w:abstractNum w:abstractNumId="2">
    <w:nsid w:val="F2BD8712"/>
    <w:multiLevelType w:val="singleLevel"/>
    <w:tmpl w:val="F2BD8712"/>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00000000"/>
    <w:rsid w:val="0C0E65F6"/>
    <w:rsid w:val="0CB763ED"/>
    <w:rsid w:val="128D30BA"/>
    <w:rsid w:val="14D74F95"/>
    <w:rsid w:val="215B7CFE"/>
    <w:rsid w:val="25CA5F47"/>
    <w:rsid w:val="27554114"/>
    <w:rsid w:val="31C12C76"/>
    <w:rsid w:val="45A30685"/>
    <w:rsid w:val="45CB33C7"/>
    <w:rsid w:val="54364AF9"/>
    <w:rsid w:val="6B7FC534"/>
    <w:rsid w:val="FFFF8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after="120"/>
      <w:jc w:val="both"/>
    </w:pPr>
    <w:rPr>
      <w:rFonts w:ascii="Calibri" w:hAnsi="Calibri" w:eastAsia="宋体" w:cs="Times New Roman"/>
      <w:kern w:val="2"/>
      <w:sz w:val="21"/>
      <w:szCs w:val="21"/>
      <w:lang w:val="en-US" w:eastAsia="zh-CN"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NormalIndent"/>
    <w:basedOn w:val="1"/>
    <w:qFormat/>
    <w:uiPriority w:val="0"/>
    <w:pPr>
      <w:ind w:firstLine="420"/>
      <w:jc w:val="left"/>
    </w:pPr>
    <w:rPr>
      <w:rFonts w:ascii="宋体" w:hAnsi="Calibri"/>
      <w:kern w:val="0"/>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2206</Words>
  <Characters>2249</Characters>
  <Lines>0</Lines>
  <Paragraphs>0</Paragraphs>
  <TotalTime>13</TotalTime>
  <ScaleCrop>false</ScaleCrop>
  <LinksUpToDate>false</LinksUpToDate>
  <CharactersWithSpaces>2254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2025-11-19T22:56:00Z</dcterms:created>
  <dc:creator>7172768</dc:creator>
  <cp:lastModifiedBy>陈哇塞</cp:lastModifiedBy>
  <cp:lastPrinted>2026-02-03T17:29:00Z</cp:lastPrinted>
  <dcterms:modified xsi:type="dcterms:W3CDTF">2026-02-06T00:54:46Z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eyJoZGlkIjoiM2U4MDg4OWRiNTZlNWJhNmE3NmRhZjc2NmRmNzFlNTkiLCJ1c2VySWQiOiIyODIyMzk0ODgifQ==</vt:lpwstr>
  </property>
  <property fmtid="{D5CDD505-2E9C-101B-9397-08002B2CF9AE}" pid="4" name="ICV">
    <vt:lpwstr>385CF0748D1B4FF1A9251CCBE87D8AE7_12</vt:lpwstr>
  </property>
</Properties>
</file>